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CAR WASHING SERVICES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Service 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Frequency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Weekly car wash - exterior and interior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monthly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4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80.00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320.00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Payment monthly in advance for contract services.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Service is subject to vehicle accessibility and weather conditions.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Damage due to washing (if any) must be reported within 24 hours.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